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F7E4" w14:textId="77777777" w:rsidR="00CC47D8" w:rsidRDefault="00CC47D8" w:rsidP="00FC6786">
      <w:pPr>
        <w:pStyle w:val="Tekst"/>
        <w:jc w:val="right"/>
      </w:pPr>
    </w:p>
    <w:p w14:paraId="28586AB9" w14:textId="693FD217" w:rsidR="00C81E66" w:rsidRDefault="00952035" w:rsidP="00952035">
      <w:pPr>
        <w:pStyle w:val="Tekst"/>
        <w:jc w:val="right"/>
        <w:rPr>
          <w:b/>
          <w:bCs/>
          <w:i/>
          <w:iCs/>
          <w:sz w:val="18"/>
          <w:szCs w:val="18"/>
        </w:rPr>
      </w:pPr>
      <w:r w:rsidRPr="00952035">
        <w:rPr>
          <w:b/>
          <w:bCs/>
          <w:i/>
          <w:iCs/>
          <w:sz w:val="18"/>
          <w:szCs w:val="18"/>
        </w:rPr>
        <w:t xml:space="preserve">Załącznik nr </w:t>
      </w:r>
      <w:r w:rsidR="00C81E66">
        <w:rPr>
          <w:b/>
          <w:bCs/>
          <w:i/>
          <w:iCs/>
          <w:sz w:val="18"/>
          <w:szCs w:val="18"/>
        </w:rPr>
        <w:t>2</w:t>
      </w:r>
      <w:r w:rsidRPr="00952035">
        <w:rPr>
          <w:b/>
          <w:bCs/>
          <w:i/>
          <w:iCs/>
          <w:sz w:val="18"/>
          <w:szCs w:val="18"/>
        </w:rPr>
        <w:t xml:space="preserve"> </w:t>
      </w:r>
      <w:r w:rsidR="00490E4E">
        <w:rPr>
          <w:b/>
          <w:bCs/>
          <w:i/>
          <w:iCs/>
          <w:sz w:val="18"/>
          <w:szCs w:val="18"/>
        </w:rPr>
        <w:t>–</w:t>
      </w:r>
      <w:r w:rsidRPr="00952035">
        <w:rPr>
          <w:b/>
          <w:bCs/>
          <w:i/>
          <w:iCs/>
          <w:sz w:val="18"/>
          <w:szCs w:val="18"/>
        </w:rPr>
        <w:t xml:space="preserve"> </w:t>
      </w:r>
      <w:r w:rsidR="00490E4E">
        <w:rPr>
          <w:b/>
          <w:bCs/>
          <w:i/>
          <w:iCs/>
          <w:sz w:val="18"/>
          <w:szCs w:val="18"/>
        </w:rPr>
        <w:t>Specyfikacja techniczna</w:t>
      </w:r>
    </w:p>
    <w:p w14:paraId="2F3B986D" w14:textId="1C535442" w:rsidR="00C81E66" w:rsidRDefault="00C81E66" w:rsidP="00C81E66">
      <w:pPr>
        <w:pStyle w:val="Tekst"/>
      </w:pPr>
    </w:p>
    <w:p w14:paraId="43D42678" w14:textId="3CD48FCD" w:rsidR="00C81E66" w:rsidRDefault="00C81E66" w:rsidP="00C81E66">
      <w:pPr>
        <w:pStyle w:val="Tekst"/>
      </w:pPr>
    </w:p>
    <w:p w14:paraId="0F131465" w14:textId="643BD33B" w:rsidR="00C81E66" w:rsidRDefault="00C81E66" w:rsidP="00C81E66">
      <w:pPr>
        <w:pStyle w:val="Tekst"/>
        <w:jc w:val="center"/>
        <w:rPr>
          <w:b/>
          <w:bCs/>
          <w:sz w:val="32"/>
          <w:szCs w:val="32"/>
        </w:rPr>
      </w:pPr>
      <w:r w:rsidRPr="00C81E66">
        <w:rPr>
          <w:b/>
          <w:bCs/>
          <w:sz w:val="32"/>
          <w:szCs w:val="32"/>
        </w:rPr>
        <w:t>SPECYFIKACJA TECHNICZNA</w:t>
      </w:r>
    </w:p>
    <w:p w14:paraId="66237677" w14:textId="77777777" w:rsidR="00C81E66" w:rsidRPr="00C81E66" w:rsidRDefault="00C81E66" w:rsidP="00C81E66">
      <w:pPr>
        <w:pStyle w:val="Tekst"/>
        <w:jc w:val="center"/>
        <w:rPr>
          <w:b/>
          <w:bCs/>
          <w:sz w:val="32"/>
          <w:szCs w:val="32"/>
        </w:rPr>
      </w:pPr>
    </w:p>
    <w:p w14:paraId="2D0BF1D8" w14:textId="77777777" w:rsidR="00C81E66" w:rsidRDefault="00C81E66" w:rsidP="00C81E66">
      <w:pPr>
        <w:pStyle w:val="Tekst"/>
        <w:jc w:val="center"/>
      </w:pPr>
      <w:r>
        <w:t xml:space="preserve">Dokument </w:t>
      </w:r>
      <w:r w:rsidRPr="00C81E66">
        <w:t>potwierdzający</w:t>
      </w:r>
      <w:r>
        <w:t xml:space="preserve"> spełnianie przez Wykonawcę wymagań określonych w zapytaniu ofertowym</w:t>
      </w:r>
    </w:p>
    <w:p w14:paraId="2F347899" w14:textId="77777777" w:rsidR="00C81E66" w:rsidRDefault="00C81E66" w:rsidP="00C81E66">
      <w:pPr>
        <w:pStyle w:val="Tekst"/>
      </w:pPr>
    </w:p>
    <w:p w14:paraId="4ABECB6D" w14:textId="77777777" w:rsidR="00C81E66" w:rsidRDefault="00C81E66" w:rsidP="00C81E66">
      <w:pPr>
        <w:pStyle w:val="Tekst"/>
      </w:pPr>
    </w:p>
    <w:p w14:paraId="4B580768" w14:textId="77777777" w:rsidR="00C81E66" w:rsidRDefault="00C81E66" w:rsidP="00C81E66">
      <w:pPr>
        <w:pStyle w:val="Punkt1"/>
      </w:pPr>
      <w:r>
        <w:t xml:space="preserve">Wykonawca zobowiązany jest do wypełnienia formularza oferty technicznej (przedstawionych poniżej tabeli) przez: </w:t>
      </w:r>
    </w:p>
    <w:p w14:paraId="2850D90F" w14:textId="5EE67D0B" w:rsidR="00C81E66" w:rsidRDefault="00C81E66" w:rsidP="00490E4E">
      <w:pPr>
        <w:pStyle w:val="Punkta"/>
      </w:pPr>
      <w:r>
        <w:t>wypełnienie kolumny „Parametry techniczne oferowanego sprzętu”.</w:t>
      </w:r>
    </w:p>
    <w:p w14:paraId="5D195AE7" w14:textId="77777777" w:rsidR="00C81E66" w:rsidRDefault="00C81E66" w:rsidP="00C81E66">
      <w:pPr>
        <w:pStyle w:val="Punkt1"/>
      </w:pPr>
      <w:r>
        <w:t xml:space="preserve">Wykonawca zapewni dostawę zaoferowanego sprzętu/oprogramowania we wskazanym przez Zamawiającego miejscu. </w:t>
      </w:r>
    </w:p>
    <w:p w14:paraId="529AA606" w14:textId="77777777" w:rsidR="00C81E66" w:rsidRDefault="00C81E66" w:rsidP="00C81E66">
      <w:pPr>
        <w:pStyle w:val="Punkt1"/>
      </w:pPr>
      <w:r>
        <w:t>Zamawiający oceni, czy Wykonawca zaoferował sprzęt/oprogramowanie o podanych parametrach technicznych, poprzez wskazanie: spełnia/nie spełnia</w:t>
      </w:r>
    </w:p>
    <w:p w14:paraId="0C15F618" w14:textId="56207E43" w:rsidR="00C81E66" w:rsidRDefault="00C81E66" w:rsidP="00C81E66">
      <w:pPr>
        <w:pStyle w:val="Punkt1"/>
      </w:pPr>
      <w:r>
        <w:t>Zamawiający dopuszcza możliwość realizacji zamówienia przy udziale Podwykonawcy/ wspólnie z innym Wykonawcą. W takiej sytuacji Wykonawca w treści formularza ofertowego jest zobowiązany wykazać te elementy zamówienia, których wykonanie zamierza powierzyć Podwykonawcom/ wykonać wspólnie z</w:t>
      </w:r>
      <w:r w:rsidR="000D4744">
        <w:t> </w:t>
      </w:r>
      <w:r>
        <w:t>innym Wykonawcą.</w:t>
      </w:r>
    </w:p>
    <w:p w14:paraId="74BA1A89" w14:textId="77777777" w:rsidR="00C81E66" w:rsidRDefault="00C81E66" w:rsidP="00C81E66">
      <w:pPr>
        <w:pStyle w:val="Punkt1"/>
        <w:numPr>
          <w:ilvl w:val="0"/>
          <w:numId w:val="0"/>
        </w:numPr>
        <w:ind w:left="357" w:hanging="357"/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078"/>
        <w:gridCol w:w="5036"/>
        <w:gridCol w:w="2268"/>
      </w:tblGrid>
      <w:tr w:rsidR="00C81E66" w:rsidRPr="00C81E66" w14:paraId="3AA65CCA" w14:textId="77777777" w:rsidTr="00644B9C">
        <w:trPr>
          <w:trHeight w:val="724"/>
        </w:trPr>
        <w:tc>
          <w:tcPr>
            <w:tcW w:w="394" w:type="dxa"/>
            <w:shd w:val="clear" w:color="auto" w:fill="auto"/>
            <w:vAlign w:val="center"/>
            <w:hideMark/>
          </w:tcPr>
          <w:p w14:paraId="2241E869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14" w:type="dxa"/>
            <w:gridSpan w:val="2"/>
            <w:shd w:val="clear" w:color="auto" w:fill="auto"/>
            <w:vAlign w:val="center"/>
            <w:hideMark/>
          </w:tcPr>
          <w:p w14:paraId="557DD24B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 wymagań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F97264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Parametry techniczne oferowanego sprzętu/ oprogramowania - wpisuje Wykonawca</w:t>
            </w:r>
          </w:p>
        </w:tc>
      </w:tr>
      <w:tr w:rsidR="00C81E66" w:rsidRPr="00C81E66" w14:paraId="5136C713" w14:textId="77777777" w:rsidTr="00C81E66">
        <w:trPr>
          <w:trHeight w:val="2142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B4291E5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63E3AFDE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Czytnik RFID z obudową IP65 na bramkę do sauny (1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30DEC1E6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Naścienny czytnik RFID min. 13,56 MHz, obsługiwane standardy: MIFARE® Classic,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Ultralight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DESFire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(tylko ID),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iCLASS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(tylko CSN), ICODE® SLI (ISO15693), Częstotliwość pracy min. 13.56kHz, Interfejs Ethernet, przekaźnik, wbudowany przycisk na ściance czołowej oraz dwie diody LED, przycisk powrotu do ustawień fabrycznych, dwa wejścia, konfigurowanie zachowania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buzzera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przekaźnika oraz diod LED, zdalna aktualizacja oprogramowania za pomocą protokołu TFTP.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C15DC2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0EE61DC5" w14:textId="77777777" w:rsidTr="00C81E66">
        <w:trPr>
          <w:trHeight w:val="70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D7FF773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7144BE8E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Czytnik RFID w obudowie pulpitowej USB (2 szt.) 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754F4E3C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Czytnik transponderowy RFID USB, Interfejs komunikacyjny USB 2.0, czytane identyfikatory MIFARE lub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Unique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Hitag1, sygnalizacja: 2 diody dowolnego przeznaczenia (red,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green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), dioda zasilania (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blue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794F5A" w14:textId="77777777" w:rsidR="00C81E66" w:rsidRPr="00C81E66" w:rsidRDefault="00C81E66" w:rsidP="00644B9C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6E29AE3D" w14:textId="77777777" w:rsidTr="00C81E66">
        <w:trPr>
          <w:trHeight w:val="341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D10BB9A" w14:textId="209226A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75F9BCC9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Czytnik kodów kreskowych i QR (2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2687AC74" w14:textId="70B20E5C" w:rsidR="00C81E66" w:rsidRPr="00C81E66" w:rsidRDefault="00C81E66" w:rsidP="00C81E6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Czytnik kodów kreskowych i QR z podstawką, rodzaje interfejsu min.: USB, RS232, KBW, Odczytywane kody min.: 1D, 2D, GS1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DataBar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PDF417,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DotCode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Odporność na upadki min. 1,8 m, Długość kabla: min. 3 m, norma szczelności: min. IP42. </w:t>
            </w:r>
          </w:p>
          <w:p w14:paraId="3DEFACD1" w14:textId="77777777" w:rsidR="00C81E66" w:rsidRPr="00C81E66" w:rsidRDefault="00C81E66" w:rsidP="00644B9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C59D20" w14:textId="77777777" w:rsidR="00C81E66" w:rsidRPr="00C81E66" w:rsidRDefault="00C81E66" w:rsidP="00644B9C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14:paraId="58007C39" w14:textId="77777777" w:rsidR="009423C6" w:rsidRDefault="009423C6" w:rsidP="00644B9C">
      <w:pPr>
        <w:spacing w:after="0" w:line="276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sectPr w:rsidR="009423C6" w:rsidSect="0057334B">
          <w:headerReference w:type="default" r:id="rId7"/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078"/>
        <w:gridCol w:w="5036"/>
        <w:gridCol w:w="2268"/>
      </w:tblGrid>
      <w:tr w:rsidR="00C81E66" w:rsidRPr="00C81E66" w14:paraId="6C0D64A7" w14:textId="77777777" w:rsidTr="00C81E66">
        <w:trPr>
          <w:trHeight w:val="4311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00E3D4A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4D5225B6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Czytnik RFID z wyświetlaczem kolorowym (2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637D8B2F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Czytnik transponderowy RFID z wyświetlaczem kolorowym, obudowa IP65, 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Procesor: wielordzeniowy min. 4 rdzenie, minimalna liczba wątków 4, minimalna bazowa częstotliwość procesora 1.50 GHz, który otrzymał w teście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CPU Benchmark min. 807 pkt; (wynik dostępny na stronie: http://www.cpubenchmark.net/CPU_mega_page.html - parametr CPU Mark)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Pamięć RAM min. 2GB LPDDR4, Komunikacja LAN (obsługa protokołów SSL, HTTP, TCP, DHCP, FTP), Złącza: listwa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goldpin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40-pin, Czytane identyfikatory: MIFARE, 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Parametry monitora: wymiar ekranu: min. 5" (16:10), rozdzielczość: min. 1920x1200, jasność min. 700 CD/m2, Kąt widzenia poziomy: min. 178. Kąt widzenia pionowy min. 178, Odporność: na czynniki zewnętrzne w tym kurz i zarysowania, wbudowany filtr prywatyzujący, System operacyjny: UBUNTU 18.04 LTS lub równoważny z obsługą m.in. AES (RIJNDAEL)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iXTEA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5182A2" w14:textId="77777777" w:rsidR="00C81E66" w:rsidRPr="00C81E66" w:rsidRDefault="00C81E66" w:rsidP="00644B9C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6A13B95E" w14:textId="77777777" w:rsidTr="00C81E66">
        <w:trPr>
          <w:trHeight w:val="3885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8DB58C5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71E97260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Serwer (1 szt.).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23D5D3E6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Typ: Serwer bazodanowy typu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1U.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Procesor: wielordzeniowy min. 4 rdzenie, minimalna liczba wątków 4, minimalna bazowa częstotliwość procesora 3.50 GHz, który otrzymał w teście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CPU Benchmark min. 7466 pkt; (wynik dostępny na stronie: http://www.cpubenchmark.net/CPU_mega_page.html - parametr CPU Mark)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Pamięć: min. 8 GB RAM, zainstalowane 2 szt. dyski twarde SATA 6Gb/s o pojemności min. 1TB, wielkości 2,5” lub 3,5” (skonfigurowane w RAID). 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Karta sieciowa min.: 2 x Gigabit Ethernet. 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Obudowa typu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1U do instalacji w standardowej szafie RACK 19”, dostarczona wraz z szynami i prowadnicą kabli. Zainstalowany i skonfigurowany system operacyjny do obsługi bazy danych.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Serwer musi być fabrycznie nowy, zakupiony w oficjalnym kanale sprzedaży producenta na rynek polski. Wykonawca dokona montażu serwera w udostępnionej przez Zamawiającego szafie „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19”.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2EDE51" w14:textId="77777777" w:rsidR="00C81E66" w:rsidRPr="00C81E66" w:rsidRDefault="00C81E66" w:rsidP="00644B9C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277F245C" w14:textId="77777777" w:rsidTr="00C81E66">
        <w:trPr>
          <w:trHeight w:val="1447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1BB333A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55A8F702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Switch z wyposażeniem (1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4E18F7BE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Porty min. 24 x 10/100/1000 pełny dupleks. + 2 x zestaw Gigabit SFP lub równoważne o tych samych parametrach.  Wielkość tabeli adresów: 8192 wejścia, Przepustowość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rutowania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/przełączania: 48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Gbit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/s. Standardy komunikacyjne: IEEE 802.1p, IEEE 802.3, IEEE 802.3ab, IEEE 802.3az, IEEE 802.3u, IEEE 802.3x, IEEE 802.3z.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Stacjonarny, montowany w szafie RACK.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E52312" w14:textId="77777777" w:rsidR="00C81E66" w:rsidRPr="00C81E66" w:rsidRDefault="00C81E66" w:rsidP="00644B9C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3B365E8A" w14:textId="77777777" w:rsidTr="00C81E66">
        <w:trPr>
          <w:trHeight w:val="70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53A2A773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21FED24D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UPS (1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47D6A08D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UPS on-line montowany w szafie RACK 19’’.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Kształt napięcia wyjściowego: Sinusoida pełna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Moc skuteczna min.: 1800 W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Moc pozorna min.: 3000 VA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Czas podtrzymania dla obciążenia 100% min.: 1.3 minuty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Czas podtrzymania dla obciążenia 50% min.: 7.4 minuty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Czas przełączania max.: 4 ms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Technologia UPS Liniowa interaktywna. 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Napięcie wejściowe AC 230 V. 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Liczba gniazd IEC C13 – min. 8,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DA0D21" w14:textId="77777777" w:rsidR="00C81E66" w:rsidRPr="00C81E66" w:rsidRDefault="00C81E66" w:rsidP="00644B9C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C81E66" w:rsidRPr="00C81E66" w14:paraId="50591014" w14:textId="77777777" w:rsidTr="00C81E66">
        <w:trPr>
          <w:trHeight w:val="2244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FD5ACC6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3351FD33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Komputer kasowy (2szt.)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6B6B5C20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Procesor: wielordzeniowy min. 4 rdzenie, minimalna liczba wątków 8, minimalna bazowa częstotliwość procesora 3.60 GHz, który otrzymał w teście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CPU Benchmark min. 8825 pkt; (wynik dostępny na stronie: http://www.cpubenchmark.net/CPU_mega_page.html - parametr CPU Mark)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Pamięć RAM min. 8 GB w technologii DDR4 SDRAM. Dysk SSD M2 o pojemności min. 256 GB. Nagrywarka DVD. Mysz i klawiatura. 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Interfejsy min.: 4 x USB 3.2 Gen 1 (2 z przodu) 4 x USB 2.0 (2 z przodu) 1 x LAN (Gigabit Ethernet) 1 x słuchawki/mikrofon (1 z przodu) 1 x wyjście liniowe audio 1 x VGA 1 x HDMI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Ochrona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przeciwkradzieżowa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Gniazdo blokady bezpieczeństwa, pętla kłódki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Zainstalowany system operacyjny min. Windows 10 Professional 64-bit.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BA2639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107657A8" w14:textId="77777777" w:rsidTr="00C81E66">
        <w:trPr>
          <w:trHeight w:val="553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3CAB206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121C5318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 (2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63AC7B0F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Monitor o przekątnej 18-24’’. Monitor LCD z podświetleniem LED i o rozdzielczości natywnej min. Full HD (1080p) 1920 x 1080. Interfejsy 2 x HDMI|VGA| Wyjście audio. Dołączone przewody - 1 x kabel HDMI. Format obrazu 16:9. Częstotliwość odświeżania ekranu min.: 60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Jasność min. 300 cd/m². Kontrast statyczny min. 1 000:1. Kontrast dynamiczny min.: 80 000 000:1. Kąt widzenia w poziomie min.: 170 stopni. Kąt widzenia w pionie min.: 160 stopni.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Technologia ochrony oczu: Redukcja migotania (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Flicker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free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). Filtr światła niebieskiego. 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Możliwość zabezpieczenia linką (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Lock).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F9E941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3051AA2C" w14:textId="77777777" w:rsidTr="00C81E66">
        <w:trPr>
          <w:trHeight w:val="70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70D7105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49B58E01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Bramka kołowrotkowa BON 5 (2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55159740" w14:textId="11A786A1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Bramka obrotowa niska</w:t>
            </w:r>
            <w:r w:rsidR="002452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klasy BON-05, zasilanie prądem: 24 V AC, maks. pobór mocy: 80 VA, temp. pracy: od -20°C do +50°C, szerokość urządzenia: 350-370 mm, minimalna szerokość przejścia: 489 mm, długość: 350-370 mm (obudowa), wysokość: 1000-1010 mm, wykonanie: stal nierdzewna.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5858C1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06EB0099" w14:textId="77777777" w:rsidTr="00C81E66">
        <w:trPr>
          <w:trHeight w:val="70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7FA2D74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63AEA251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Bramka uchylna - elektro zaczep JEW2 (1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3D95DBD6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Bramka z blokadą elektromagnetyczną wewnętrza klasy BEW, szerokość przejścia: 1100-1200 mm, obudowa: stal nierdzewna, praca w wilgotności powietrza: &lt;90%, przepustowość: min. 60osób/min.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1F757D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0F1E4268" w14:textId="77777777" w:rsidTr="00C81E66">
        <w:trPr>
          <w:trHeight w:val="215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0082AC4D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3018BAB9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Bramka kołowrotkowa BON 5 – sauna (1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3FC02041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Bramka obrotowa niska klasy BON-05, zasilanie prądem: 24 V AC, maks. pobór mocy: 80 VA, temp. pracy: od -20°C do +50°C, szerokość urządzenia: 350-370 mm, minimalna szerokość przejścia: 489 mm, długość: 350-370 mm (obudowa), wysokość: 1000-1010 mm, wykonanie: stal nierdzewna.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A222CF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36F4C692" w14:textId="77777777" w:rsidTr="00C81E66">
        <w:trPr>
          <w:trHeight w:val="70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16E65624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1D836C10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Bramka uchylna - elektro zaczep JEW2 – sauna (1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55D55224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Bramka z blokadą elektromagnetyczną wewnętrza klasy BEW, szerokość przejścia: 1100-1200 mm, obudowa: stal nierdzewna, praca w wilgotności powietrza: &lt;90% przepustowość: min. 60osób/min.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BD0EFC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6ED07B13" w14:textId="77777777" w:rsidTr="00C81E66">
        <w:trPr>
          <w:trHeight w:val="70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67728D9A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30AF407C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Skrzynka rozdzielcza (1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4E49B255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Skrzynka rozdzielcza klasy "RN" Fala-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line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zamontowane wymagane wyposażenie (wyłączniki nadprądowe, zasilacze, przełączniki, zabezpieczenia itp.), stopień ochrony min. IP 40.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4B462F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56378CCD" w14:textId="77777777" w:rsidTr="00C81E66">
        <w:trPr>
          <w:trHeight w:val="70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F0E676F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76A2FDF0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Przycisk ewakuacyjny (1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65F4E09D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Przycisk ewakuacyjny, obudowa min. 87 x 87 x 53, min. 2 klucze widełkowe odblokowujące, norma szczelności: min IP42.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59CDC2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62DFA76C" w14:textId="77777777" w:rsidTr="00C81E66">
        <w:trPr>
          <w:trHeight w:val="70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2C218218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1C88A298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Zegar jednostronny (2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40D26CD2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Zegar LED jednostronny przedstawiający aktualną systemową godzinę, pobraną z systemu ESOK, wyświetlanie: Data/czas lub czas, kolor wyświetlacza: czerwony, wymiary min.  520mm x 170mmx 60mm, Interfejs synchronizacji RS485 2 - przewodowy.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A598B1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580B8F3F" w14:textId="77777777" w:rsidTr="00C81E66">
        <w:trPr>
          <w:trHeight w:val="70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3926D45E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21ADF6D6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Zegar dwustronny (1 szt.)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29E33DAB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Zegar LED dwustronny przedstawiający aktualną systemową godzinę, pobraną z systemu ESOK, wyświetlanie: Data/czas lub czas, kolor wyświetlacza: czerwony, wymiary min.  520mm x 170mm x 60mm, Interfejs synchronizacji RS485 2 -przewodowy.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C19F5E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1E66" w:rsidRPr="00C81E66" w14:paraId="760DCB00" w14:textId="77777777" w:rsidTr="00C81E66">
        <w:trPr>
          <w:trHeight w:val="70"/>
        </w:trPr>
        <w:tc>
          <w:tcPr>
            <w:tcW w:w="394" w:type="dxa"/>
            <w:shd w:val="clear" w:color="auto" w:fill="auto"/>
            <w:noWrap/>
            <w:vAlign w:val="center"/>
            <w:hideMark/>
          </w:tcPr>
          <w:p w14:paraId="4E834345" w14:textId="77777777" w:rsidR="00C81E66" w:rsidRPr="00C81E66" w:rsidRDefault="00C81E66" w:rsidP="00644B9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1CB890AD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Wdrożenie i uruchomienie systemu obsługi otwierania szafek na strefie odnowy biologicznej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14:paraId="6F92F1D2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Wykonanie wymaganego okablowania strukturalnego sieci LAN: kabel instalacyjny klasy min. Cat.6 U/UTP 4PR LSZH CPR Class DCA 500 MHz oraz zasilania sieciowego przewodami do zastosowań ogólnych w obiektach budowanych o klasie reakcji na ogień </w:t>
            </w:r>
            <w:proofErr w:type="spellStart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Eca</w:t>
            </w:r>
            <w:proofErr w:type="spellEnd"/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zgodnie z EN 60332-1-2.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Prace wdrożeniowe – ESOK</w:t>
            </w: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Prace wdrożeniowe - Szkolenie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53EF3C" w14:textId="77777777" w:rsidR="00C81E66" w:rsidRPr="00C81E66" w:rsidRDefault="00C81E66" w:rsidP="00644B9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1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FC9EFF3" w14:textId="7DB7F6C0" w:rsidR="00C81E66" w:rsidRDefault="00C81E66" w:rsidP="00C81E66">
      <w:pPr>
        <w:pStyle w:val="Tekst"/>
      </w:pPr>
    </w:p>
    <w:p w14:paraId="15820CE1" w14:textId="77777777" w:rsidR="00C81E66" w:rsidRDefault="00C81E66" w:rsidP="00C81E66">
      <w:pPr>
        <w:pStyle w:val="Tekst"/>
      </w:pPr>
    </w:p>
    <w:p w14:paraId="3986D767" w14:textId="44B3AD58" w:rsidR="00C81E66" w:rsidRDefault="00C81E66" w:rsidP="00C81E66">
      <w:pPr>
        <w:tabs>
          <w:tab w:val="right" w:leader="dot" w:pos="9639"/>
        </w:tabs>
        <w:spacing w:line="360" w:lineRule="auto"/>
      </w:pPr>
      <w:r w:rsidRPr="00C81E66">
        <w:t>Zamówienie realizowane przy udziale Podwykonawcy/ (wpisać)</w:t>
      </w:r>
      <w:r>
        <w:tab/>
      </w:r>
    </w:p>
    <w:p w14:paraId="3C0DD4DF" w14:textId="617684BC" w:rsidR="00C81E66" w:rsidRDefault="00C81E66" w:rsidP="00C81E66">
      <w:pPr>
        <w:tabs>
          <w:tab w:val="right" w:leader="dot" w:pos="9639"/>
        </w:tabs>
        <w:spacing w:line="360" w:lineRule="auto"/>
      </w:pPr>
      <w:r>
        <w:tab/>
      </w:r>
    </w:p>
    <w:p w14:paraId="1ACF1C02" w14:textId="167227EF" w:rsidR="00C81E66" w:rsidRDefault="00C81E66" w:rsidP="00C81E66">
      <w:pPr>
        <w:tabs>
          <w:tab w:val="right" w:leader="dot" w:pos="9639"/>
        </w:tabs>
        <w:spacing w:line="360" w:lineRule="auto"/>
      </w:pPr>
      <w:r>
        <w:tab/>
      </w:r>
    </w:p>
    <w:p w14:paraId="7FFA4C9E" w14:textId="77777777" w:rsidR="00C81E66" w:rsidRDefault="00C81E66" w:rsidP="00C81E66"/>
    <w:p w14:paraId="7008DAD1" w14:textId="77777777" w:rsidR="00C81E66" w:rsidRDefault="00C81E66" w:rsidP="00C81E66">
      <w:pPr>
        <w:tabs>
          <w:tab w:val="right" w:leader="dot" w:pos="9639"/>
        </w:tabs>
        <w:spacing w:line="600" w:lineRule="auto"/>
      </w:pPr>
      <w:r>
        <w:t>Miejscowość</w:t>
      </w:r>
      <w:r>
        <w:tab/>
      </w:r>
    </w:p>
    <w:p w14:paraId="2E6818F0" w14:textId="77777777" w:rsidR="00C81E66" w:rsidRDefault="00C81E66" w:rsidP="00C81E66">
      <w:pPr>
        <w:tabs>
          <w:tab w:val="right" w:leader="dot" w:pos="9639"/>
        </w:tabs>
        <w:spacing w:line="600" w:lineRule="auto"/>
      </w:pPr>
      <w:r>
        <w:t>Data</w:t>
      </w:r>
      <w:r>
        <w:tab/>
      </w:r>
    </w:p>
    <w:p w14:paraId="0B7B9AD2" w14:textId="53431774" w:rsidR="00952035" w:rsidRPr="00952035" w:rsidRDefault="00C81E66" w:rsidP="00C81E66">
      <w:pPr>
        <w:tabs>
          <w:tab w:val="right" w:leader="dot" w:pos="9639"/>
        </w:tabs>
        <w:spacing w:line="600" w:lineRule="auto"/>
        <w:rPr>
          <w:b/>
          <w:bCs/>
          <w:i/>
          <w:iCs/>
          <w:sz w:val="18"/>
          <w:szCs w:val="18"/>
        </w:rPr>
      </w:pPr>
      <w:r>
        <w:t>Podpis Wykonawcy</w:t>
      </w:r>
      <w:r>
        <w:tab/>
      </w:r>
    </w:p>
    <w:sectPr w:rsidR="00952035" w:rsidRPr="00952035" w:rsidSect="0057334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8B54" w14:textId="77777777" w:rsidR="00F37377" w:rsidRDefault="00F37377" w:rsidP="00FC6786">
      <w:pPr>
        <w:spacing w:after="0" w:line="240" w:lineRule="auto"/>
      </w:pPr>
      <w:r>
        <w:separator/>
      </w:r>
    </w:p>
  </w:endnote>
  <w:endnote w:type="continuationSeparator" w:id="0">
    <w:p w14:paraId="6E39D8BE" w14:textId="77777777" w:rsidR="00F37377" w:rsidRDefault="00F37377" w:rsidP="00F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460172"/>
      <w:docPartObj>
        <w:docPartGallery w:val="Page Numbers (Bottom of Page)"/>
        <w:docPartUnique/>
      </w:docPartObj>
    </w:sdtPr>
    <w:sdtEndPr/>
    <w:sdtContent>
      <w:p w14:paraId="6D244357" w14:textId="43B044EA" w:rsidR="009423C6" w:rsidRDefault="00942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E19989" w14:textId="77777777" w:rsidR="009423C6" w:rsidRDefault="00942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591E" w14:textId="77777777" w:rsidR="00F37377" w:rsidRDefault="00F37377" w:rsidP="00FC6786">
      <w:pPr>
        <w:spacing w:after="0" w:line="240" w:lineRule="auto"/>
      </w:pPr>
      <w:r>
        <w:separator/>
      </w:r>
    </w:p>
  </w:footnote>
  <w:footnote w:type="continuationSeparator" w:id="0">
    <w:p w14:paraId="43D16D5F" w14:textId="77777777" w:rsidR="00F37377" w:rsidRDefault="00F37377" w:rsidP="00FC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F883" w14:textId="64F77451" w:rsidR="009423C6" w:rsidRDefault="009423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362145" wp14:editId="3678FB6F">
          <wp:simplePos x="0" y="0"/>
          <wp:positionH relativeFrom="margin">
            <wp:align>center</wp:align>
          </wp:positionH>
          <wp:positionV relativeFrom="margin">
            <wp:posOffset>-591982</wp:posOffset>
          </wp:positionV>
          <wp:extent cx="5760720" cy="42164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D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44FF2"/>
    <w:multiLevelType w:val="hybridMultilevel"/>
    <w:tmpl w:val="5AAC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B9C"/>
    <w:multiLevelType w:val="hybridMultilevel"/>
    <w:tmpl w:val="22F8C6C4"/>
    <w:lvl w:ilvl="0" w:tplc="F25C5218">
      <w:start w:val="1"/>
      <w:numFmt w:val="upperRoman"/>
      <w:pStyle w:val="RozdziaI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C2931"/>
    <w:multiLevelType w:val="hybridMultilevel"/>
    <w:tmpl w:val="EB6642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D73315"/>
    <w:multiLevelType w:val="hybridMultilevel"/>
    <w:tmpl w:val="B8B0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87667"/>
    <w:multiLevelType w:val="hybridMultilevel"/>
    <w:tmpl w:val="294A507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03F1E43"/>
    <w:multiLevelType w:val="hybridMultilevel"/>
    <w:tmpl w:val="5BCCF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6FD3"/>
    <w:multiLevelType w:val="hybridMultilevel"/>
    <w:tmpl w:val="0688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94A"/>
    <w:multiLevelType w:val="multilevel"/>
    <w:tmpl w:val="2DBAA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8A50F2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 w15:restartNumberingAfterBreak="0">
    <w:nsid w:val="5A8317DF"/>
    <w:multiLevelType w:val="hybridMultilevel"/>
    <w:tmpl w:val="DFCE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00E36"/>
    <w:multiLevelType w:val="hybridMultilevel"/>
    <w:tmpl w:val="B226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7C00"/>
    <w:multiLevelType w:val="hybridMultilevel"/>
    <w:tmpl w:val="319E07F2"/>
    <w:lvl w:ilvl="0" w:tplc="15E67844">
      <w:start w:val="1"/>
      <w:numFmt w:val="lowerLetter"/>
      <w:pStyle w:val="Punkta"/>
      <w:lvlText w:val="%1)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041B68"/>
    <w:multiLevelType w:val="hybridMultilevel"/>
    <w:tmpl w:val="D30627A2"/>
    <w:lvl w:ilvl="0" w:tplc="9294D8B4">
      <w:start w:val="1"/>
      <w:numFmt w:val="decimal"/>
      <w:pStyle w:val="Punkt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11"/>
  </w:num>
  <w:num w:numId="24">
    <w:abstractNumId w:val="5"/>
  </w:num>
  <w:num w:numId="25">
    <w:abstractNumId w:val="8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3"/>
  </w:num>
  <w:num w:numId="29">
    <w:abstractNumId w:val="14"/>
    <w:lvlOverride w:ilvl="0">
      <w:startOverride w:val="1"/>
    </w:lvlOverride>
  </w:num>
  <w:num w:numId="3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86"/>
    <w:rsid w:val="00025C02"/>
    <w:rsid w:val="000C5D13"/>
    <w:rsid w:val="000D4744"/>
    <w:rsid w:val="0024524F"/>
    <w:rsid w:val="002D5D7F"/>
    <w:rsid w:val="003939DC"/>
    <w:rsid w:val="003A3CB9"/>
    <w:rsid w:val="004842CF"/>
    <w:rsid w:val="00490E4E"/>
    <w:rsid w:val="0057334B"/>
    <w:rsid w:val="00585F60"/>
    <w:rsid w:val="00634880"/>
    <w:rsid w:val="006B1FB6"/>
    <w:rsid w:val="006B6EE1"/>
    <w:rsid w:val="00701DCA"/>
    <w:rsid w:val="00733879"/>
    <w:rsid w:val="007C4D7C"/>
    <w:rsid w:val="00816B6F"/>
    <w:rsid w:val="00915598"/>
    <w:rsid w:val="009423C6"/>
    <w:rsid w:val="00952035"/>
    <w:rsid w:val="009A5959"/>
    <w:rsid w:val="009B70E3"/>
    <w:rsid w:val="00AD131D"/>
    <w:rsid w:val="00B860EB"/>
    <w:rsid w:val="00BF3C71"/>
    <w:rsid w:val="00C81E66"/>
    <w:rsid w:val="00CC3ED1"/>
    <w:rsid w:val="00CC47D8"/>
    <w:rsid w:val="00CF1FEE"/>
    <w:rsid w:val="00D41196"/>
    <w:rsid w:val="00DC111B"/>
    <w:rsid w:val="00DC7FEE"/>
    <w:rsid w:val="00DD5883"/>
    <w:rsid w:val="00ED12C5"/>
    <w:rsid w:val="00EE1D25"/>
    <w:rsid w:val="00F16EE3"/>
    <w:rsid w:val="00F37377"/>
    <w:rsid w:val="00F95E55"/>
    <w:rsid w:val="00F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BDDF"/>
  <w15:chartTrackingRefBased/>
  <w15:docId w15:val="{BC6A7027-8657-46CE-B2BF-C85A142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1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FC6786"/>
    <w:pPr>
      <w:spacing w:after="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F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FC6786"/>
  </w:style>
  <w:style w:type="character" w:customStyle="1" w:styleId="NagwekZnak">
    <w:name w:val="Nagłówek Znak"/>
    <w:basedOn w:val="Domylnaczcionkaakapitu"/>
    <w:link w:val="Nagwek"/>
    <w:uiPriority w:val="99"/>
    <w:rsid w:val="00FC6786"/>
  </w:style>
  <w:style w:type="paragraph" w:styleId="Stopka">
    <w:name w:val="footer"/>
    <w:basedOn w:val="Normalny"/>
    <w:link w:val="StopkaZnak"/>
    <w:uiPriority w:val="99"/>
    <w:unhideWhenUsed/>
    <w:rsid w:val="00F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786"/>
  </w:style>
  <w:style w:type="paragraph" w:styleId="Akapitzlist">
    <w:name w:val="List Paragraph"/>
    <w:basedOn w:val="Normalny"/>
    <w:link w:val="AkapitzlistZnak"/>
    <w:uiPriority w:val="34"/>
    <w:rsid w:val="00FC6786"/>
    <w:pPr>
      <w:ind w:left="720"/>
      <w:contextualSpacing/>
    </w:pPr>
  </w:style>
  <w:style w:type="paragraph" w:customStyle="1" w:styleId="RozdziaI">
    <w:name w:val="Rozdział I"/>
    <w:basedOn w:val="Akapitzlist"/>
    <w:link w:val="RozdziaIZnak"/>
    <w:qFormat/>
    <w:rsid w:val="00B860EB"/>
    <w:pPr>
      <w:numPr>
        <w:numId w:val="2"/>
      </w:numPr>
      <w:shd w:val="clear" w:color="auto" w:fill="D9E2F3" w:themeFill="accent1" w:themeFillTint="33"/>
      <w:spacing w:before="240" w:after="240" w:line="276" w:lineRule="auto"/>
      <w:ind w:left="426" w:hanging="426"/>
      <w:jc w:val="both"/>
    </w:pPr>
    <w:rPr>
      <w:b/>
      <w:bCs/>
    </w:rPr>
  </w:style>
  <w:style w:type="paragraph" w:customStyle="1" w:styleId="Punkt1">
    <w:name w:val="Punkt 1."/>
    <w:basedOn w:val="Akapitzlist"/>
    <w:link w:val="Punkt1Znak"/>
    <w:qFormat/>
    <w:rsid w:val="00F16EE3"/>
    <w:pPr>
      <w:numPr>
        <w:numId w:val="3"/>
      </w:numPr>
      <w:spacing w:before="120" w:after="120" w:line="276" w:lineRule="auto"/>
      <w:ind w:left="357" w:hanging="357"/>
      <w:contextualSpacing w:val="0"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C6786"/>
  </w:style>
  <w:style w:type="character" w:customStyle="1" w:styleId="RozdziaIZnak">
    <w:name w:val="Rozdział I Znak"/>
    <w:basedOn w:val="AkapitzlistZnak"/>
    <w:link w:val="RozdziaI"/>
    <w:rsid w:val="00B860EB"/>
    <w:rPr>
      <w:b/>
      <w:bCs/>
      <w:shd w:val="clear" w:color="auto" w:fill="D9E2F3" w:themeFill="accent1" w:themeFillTint="33"/>
    </w:rPr>
  </w:style>
  <w:style w:type="paragraph" w:customStyle="1" w:styleId="Punkt11">
    <w:name w:val="Punkt 1.1."/>
    <w:basedOn w:val="Akapitzlist"/>
    <w:link w:val="Punkt11Znak"/>
    <w:qFormat/>
    <w:rsid w:val="00816B6F"/>
    <w:pPr>
      <w:numPr>
        <w:ilvl w:val="1"/>
        <w:numId w:val="7"/>
      </w:numPr>
      <w:spacing w:before="240"/>
      <w:ind w:left="993" w:hanging="567"/>
    </w:pPr>
    <w:rPr>
      <w:b/>
      <w:bCs/>
    </w:rPr>
  </w:style>
  <w:style w:type="character" w:customStyle="1" w:styleId="Punkt1Znak">
    <w:name w:val="Punkt 1. Znak"/>
    <w:basedOn w:val="AkapitzlistZnak"/>
    <w:link w:val="Punkt1"/>
    <w:rsid w:val="00F16EE3"/>
  </w:style>
  <w:style w:type="paragraph" w:customStyle="1" w:styleId="Tekst2">
    <w:name w:val="Tekst 2"/>
    <w:basedOn w:val="Tekst"/>
    <w:link w:val="Tekst2Znak"/>
    <w:qFormat/>
    <w:rsid w:val="00816B6F"/>
    <w:pPr>
      <w:ind w:left="426"/>
    </w:pPr>
  </w:style>
  <w:style w:type="character" w:customStyle="1" w:styleId="Punkt11Znak">
    <w:name w:val="Punkt 1.1. Znak"/>
    <w:basedOn w:val="AkapitzlistZnak"/>
    <w:link w:val="Punkt11"/>
    <w:rsid w:val="00816B6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16EE3"/>
    <w:rPr>
      <w:color w:val="808080"/>
    </w:rPr>
  </w:style>
  <w:style w:type="character" w:customStyle="1" w:styleId="Tekst2Znak">
    <w:name w:val="Tekst 2 Znak"/>
    <w:basedOn w:val="TekstZnak"/>
    <w:link w:val="Tekst2"/>
    <w:rsid w:val="00816B6F"/>
  </w:style>
  <w:style w:type="character" w:styleId="Hipercze">
    <w:name w:val="Hyperlink"/>
    <w:basedOn w:val="Domylnaczcionkaakapitu"/>
    <w:uiPriority w:val="99"/>
    <w:unhideWhenUsed/>
    <w:rsid w:val="00701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DC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5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a">
    <w:name w:val="Punkt a)"/>
    <w:basedOn w:val="Akapitzlist"/>
    <w:link w:val="PunktaZnak"/>
    <w:qFormat/>
    <w:rsid w:val="00490E4E"/>
    <w:pPr>
      <w:numPr>
        <w:numId w:val="28"/>
      </w:numPr>
      <w:jc w:val="both"/>
    </w:pPr>
  </w:style>
  <w:style w:type="character" w:customStyle="1" w:styleId="PunktaZnak">
    <w:name w:val="Punkt a) Znak"/>
    <w:basedOn w:val="AkapitzlistZnak"/>
    <w:link w:val="Punkta"/>
    <w:rsid w:val="0049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13</cp:revision>
  <cp:lastPrinted>2021-08-30T06:34:00Z</cp:lastPrinted>
  <dcterms:created xsi:type="dcterms:W3CDTF">2021-08-27T08:12:00Z</dcterms:created>
  <dcterms:modified xsi:type="dcterms:W3CDTF">2021-09-01T06:32:00Z</dcterms:modified>
</cp:coreProperties>
</file>